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671455AB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="00DB4C00">
        <w:rPr>
          <w:b/>
          <w:bCs/>
          <w:sz w:val="28"/>
          <w:szCs w:val="28"/>
        </w:rPr>
        <w:t xml:space="preserve">Целиева_Петимат Рамзановна </w:t>
      </w:r>
      <w:r>
        <w:rPr>
          <w:b/>
          <w:bCs/>
          <w:sz w:val="28"/>
          <w:szCs w:val="28"/>
        </w:rPr>
        <w:t>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17"/>
        <w:gridCol w:w="1928"/>
        <w:gridCol w:w="1061"/>
        <w:gridCol w:w="1107"/>
        <w:gridCol w:w="9"/>
        <w:gridCol w:w="2331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1A03ADE2" w14:textId="367A28F2" w:rsidR="002E18A0" w:rsidRPr="002E18A0" w:rsidRDefault="00DB4C00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10.03.1964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65107D28" w:rsidR="002E18A0" w:rsidRDefault="002E18A0" w:rsidP="00DB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Муниципальное бюджетное </w:t>
            </w:r>
            <w:r>
              <w:rPr>
                <w:i/>
                <w:iCs/>
                <w:sz w:val="28"/>
                <w:szCs w:val="28"/>
              </w:rPr>
              <w:t xml:space="preserve">образовательное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учреждение</w:t>
            </w:r>
            <w:r w:rsidR="00DB4C00">
              <w:rPr>
                <w:rFonts w:eastAsiaTheme="minorEastAsia"/>
                <w:i/>
                <w:iCs/>
                <w:sz w:val="28"/>
                <w:szCs w:val="28"/>
              </w:rPr>
              <w:t xml:space="preserve"> с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. </w:t>
            </w:r>
            <w:r w:rsidR="00DB4C00">
              <w:rPr>
                <w:i/>
                <w:iCs/>
                <w:sz w:val="28"/>
                <w:szCs w:val="28"/>
              </w:rPr>
              <w:t xml:space="preserve">Ахмат-Юрт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«Средн</w:t>
            </w:r>
            <w:r w:rsidR="00DB4C00">
              <w:rPr>
                <w:rFonts w:eastAsiaTheme="minorEastAsia"/>
                <w:i/>
                <w:iCs/>
                <w:sz w:val="28"/>
                <w:szCs w:val="28"/>
              </w:rPr>
              <w:t>яя общеобразовательная школа №3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» </w:t>
            </w:r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0920D58A" w14:textId="4A0A2E15" w:rsidR="002E18A0" w:rsidRPr="00DB4C00" w:rsidRDefault="00DB4C00" w:rsidP="00DB4C00">
            <w:pPr>
              <w:tabs>
                <w:tab w:val="left" w:pos="190"/>
              </w:tabs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начальных классов</w:t>
            </w:r>
          </w:p>
          <w:p w14:paraId="7EEA24EF" w14:textId="4BACB3B3" w:rsidR="002E18A0" w:rsidRDefault="002E18A0" w:rsidP="002E18A0">
            <w:pPr>
              <w:tabs>
                <w:tab w:val="left" w:pos="19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3A5A7BE" w14:textId="0E7CCA75" w:rsidR="002E18A0" w:rsidRPr="002E18A0" w:rsidRDefault="00DB4C00" w:rsidP="00DB4C00">
            <w:pPr>
              <w:tabs>
                <w:tab w:val="left" w:pos="19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                  01.09.2022г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3DA6F102" w:rsidR="002E18A0" w:rsidRPr="002E18A0" w:rsidRDefault="00DB4C00" w:rsidP="00DB4C00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-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5D11B2D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среднее профессиональное образование;</w:t>
            </w:r>
          </w:p>
          <w:p w14:paraId="4A078D5A" w14:textId="0399DF0B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2735F55D" w:rsidR="002E18A0" w:rsidRPr="002E18A0" w:rsidRDefault="00DB4C00" w:rsidP="00DB4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Гудермесское педагогическое училище 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4E1509EA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Из диплома выписывается специальность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19AD602E" w:rsidR="002E18A0" w:rsidRPr="002E18A0" w:rsidRDefault="00DB4C00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1ACE11E3" w14:textId="6EB8C0D4" w:rsidR="002E18A0" w:rsidRPr="002E18A0" w:rsidRDefault="000F33B6" w:rsidP="00DB4C00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198</w:t>
            </w:r>
            <w:r w:rsidR="002E18A0" w:rsidRPr="002E18A0">
              <w:rPr>
                <w:rFonts w:eastAsiaTheme="minorEastAsia"/>
                <w:i/>
                <w:iCs/>
                <w:sz w:val="28"/>
                <w:szCs w:val="28"/>
              </w:rPr>
              <w:t>5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43863718" w14:textId="13729B07" w:rsidR="002E18A0" w:rsidRPr="002E18A0" w:rsidRDefault="000F33B6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32 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1657EF2E" w14:textId="7FF144BE" w:rsidR="002E18A0" w:rsidRPr="002E18A0" w:rsidRDefault="000F33B6" w:rsidP="000F33B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32</w:t>
            </w: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0479B5E7" w:rsidR="002E18A0" w:rsidRPr="002E18A0" w:rsidRDefault="000F33B6" w:rsidP="000F33B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32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50106809" w:rsidR="002E18A0" w:rsidRPr="002E18A0" w:rsidRDefault="00E7475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1985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1CA92C05" w:rsidR="002E18A0" w:rsidRPr="002E18A0" w:rsidRDefault="0060551F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AC105E"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53CEE25D" w:rsidR="00AC105E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г.Москва</w:t>
            </w:r>
          </w:p>
        </w:tc>
        <w:tc>
          <w:tcPr>
            <w:tcW w:w="1920" w:type="dxa"/>
          </w:tcPr>
          <w:p w14:paraId="026D130B" w14:textId="488A2C1A" w:rsidR="00AC105E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8" w:type="dxa"/>
          </w:tcPr>
          <w:p w14:paraId="712E98CB" w14:textId="77CAC95E" w:rsidR="00AC105E" w:rsidRPr="002E18A0" w:rsidRDefault="00E7475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399" w:type="dxa"/>
            <w:gridSpan w:val="3"/>
          </w:tcPr>
          <w:p w14:paraId="278FA57A" w14:textId="3ABBB0EE" w:rsidR="00AC105E" w:rsidRPr="002E18A0" w:rsidRDefault="00E7475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Диплом </w:t>
            </w:r>
          </w:p>
        </w:tc>
        <w:tc>
          <w:tcPr>
            <w:tcW w:w="2106" w:type="dxa"/>
          </w:tcPr>
          <w:p w14:paraId="15F58CD7" w14:textId="3ED05E39" w:rsidR="00AC105E" w:rsidRPr="002E18A0" w:rsidRDefault="00E7475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Финансовая компетентность педагога в  современных условиях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D6D0BBB" w:rsidR="00AC105E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42B64926" w:rsidR="00AC105E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1D62FD4C" w:rsidR="000213CB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72F2642F" w:rsidR="000213CB" w:rsidRPr="002E18A0" w:rsidRDefault="00E7475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8" w:type="dxa"/>
          </w:tcPr>
          <w:p w14:paraId="229A772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AD9F1A8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41E4B40F" w:rsidR="001B2176" w:rsidRPr="001B2176" w:rsidRDefault="001B2176" w:rsidP="001B2176">
            <w:pPr>
              <w:jc w:val="center"/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27958D0B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11760B22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4E1471D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02D75438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1FDB5473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1256"/>
        <w:gridCol w:w="1819"/>
        <w:gridCol w:w="1257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4A8269FC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1A09C535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2998050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Рус.яз</w:t>
            </w:r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0F33B6"/>
    <w:rsid w:val="001B2176"/>
    <w:rsid w:val="002E18A0"/>
    <w:rsid w:val="00333A1B"/>
    <w:rsid w:val="00381496"/>
    <w:rsid w:val="0060551F"/>
    <w:rsid w:val="007A7E2E"/>
    <w:rsid w:val="009B5695"/>
    <w:rsid w:val="00A8487B"/>
    <w:rsid w:val="00AC105E"/>
    <w:rsid w:val="00AE4ADA"/>
    <w:rsid w:val="00B36A56"/>
    <w:rsid w:val="00BB02CC"/>
    <w:rsid w:val="00DB4C00"/>
    <w:rsid w:val="00E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2023-03-15T09:45:00Z</dcterms:created>
  <dcterms:modified xsi:type="dcterms:W3CDTF">2023-03-15T09:45:00Z</dcterms:modified>
</cp:coreProperties>
</file>